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50F" w14:textId="44C97BA6" w:rsidR="00F71D90" w:rsidRPr="00F71D90" w:rsidRDefault="00F71D90" w:rsidP="00F71D90">
      <w:pPr>
        <w:pStyle w:val="Heading3"/>
        <w:rPr>
          <w:b/>
          <w:bCs/>
        </w:rPr>
      </w:pPr>
      <w:r>
        <w:rPr>
          <w:b/>
          <w:bCs/>
        </w:rPr>
        <w:t>PROPOSED CHANGE IN RED   EXPLAINED ON BOTTOM OF PAGE</w:t>
      </w:r>
    </w:p>
    <w:p w14:paraId="445552B4" w14:textId="77777777" w:rsidR="00F71D90" w:rsidRDefault="00F71D90" w:rsidP="00F71D90">
      <w:pPr>
        <w:pStyle w:val="Heading3"/>
      </w:pPr>
    </w:p>
    <w:p w14:paraId="77616CA3" w14:textId="41506591" w:rsidR="00F71D90" w:rsidRDefault="00F71D90" w:rsidP="00F71D90">
      <w:pPr>
        <w:pStyle w:val="Heading3"/>
      </w:pPr>
      <w:r>
        <w:t xml:space="preserve">Section </w:t>
      </w:r>
      <w:proofErr w:type="gramStart"/>
      <w:r>
        <w:t xml:space="preserve">5.01.01  </w:t>
      </w:r>
      <w:r>
        <w:t>Accessory</w:t>
      </w:r>
      <w:proofErr w:type="gramEnd"/>
      <w:r>
        <w:t xml:space="preserve"> Buildings and Structures</w:t>
      </w:r>
    </w:p>
    <w:p w14:paraId="6F91B21B" w14:textId="77777777" w:rsidR="00F71D90" w:rsidRDefault="00F71D90" w:rsidP="00F71D90">
      <w:pPr>
        <w:pStyle w:val="p110"/>
        <w:spacing w:line="254" w:lineRule="atLeast"/>
        <w:rPr>
          <w:sz w:val="24"/>
          <w:szCs w:val="24"/>
        </w:rPr>
      </w:pPr>
    </w:p>
    <w:p w14:paraId="436AB09E" w14:textId="77777777" w:rsidR="00F71D90" w:rsidRPr="009E60C7" w:rsidRDefault="00F71D90" w:rsidP="00F71D9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bCs/>
        </w:rPr>
      </w:pPr>
      <w:r w:rsidRPr="009E60C7">
        <w:rPr>
          <w:bCs/>
        </w:rPr>
        <w:t xml:space="preserve">Accessory structures and buildings, including pole barns, shall be permitted subordinate to a dwelling or other residential use in the R-1 and R-2 District only if there is an existing dwelling either on the same lot or on </w:t>
      </w:r>
      <w:r>
        <w:rPr>
          <w:bCs/>
        </w:rPr>
        <w:t xml:space="preserve">a contiguous lot that is under </w:t>
      </w:r>
      <w:r w:rsidRPr="009E60C7">
        <w:rPr>
          <w:bCs/>
        </w:rPr>
        <w:t>common ownership.  Roadways do not negate contiguity.</w:t>
      </w:r>
      <w:r>
        <w:rPr>
          <w:bCs/>
        </w:rPr>
        <w:t xml:space="preserve">  Said structures are permitted in the AG District without a dwelling unit on the property.</w:t>
      </w:r>
    </w:p>
    <w:p w14:paraId="6F066C25" w14:textId="77777777" w:rsidR="00F71D90" w:rsidRDefault="00F71D90" w:rsidP="00F71D90">
      <w:pPr>
        <w:pStyle w:val="p110"/>
        <w:spacing w:line="254" w:lineRule="atLeast"/>
        <w:ind w:left="720"/>
        <w:rPr>
          <w:sz w:val="24"/>
          <w:szCs w:val="24"/>
        </w:rPr>
      </w:pPr>
    </w:p>
    <w:p w14:paraId="646FC3F8" w14:textId="77777777" w:rsidR="00F71D90" w:rsidRDefault="00F71D90" w:rsidP="00F71D90">
      <w:pPr>
        <w:numPr>
          <w:ilvl w:val="0"/>
          <w:numId w:val="1"/>
        </w:numPr>
        <w:suppressAutoHyphens w:val="0"/>
        <w:spacing w:after="0" w:line="240" w:lineRule="auto"/>
      </w:pPr>
      <w:r>
        <w:t xml:space="preserve">Authorized accessory buildings and structures may be erected as part of the principal building or may be connected to it by a roofed-over porch, patio, breezeway, or similar structure, or they may be completely detached.  </w:t>
      </w:r>
    </w:p>
    <w:p w14:paraId="2EBDFD1A" w14:textId="77777777" w:rsidR="00F71D90" w:rsidRDefault="00F71D90" w:rsidP="00F71D90">
      <w:pPr>
        <w:ind w:left="720"/>
      </w:pPr>
    </w:p>
    <w:p w14:paraId="49A39986" w14:textId="77777777" w:rsidR="00F71D90" w:rsidRDefault="00F71D90" w:rsidP="00F71D90">
      <w:pPr>
        <w:numPr>
          <w:ilvl w:val="0"/>
          <w:numId w:val="1"/>
        </w:numPr>
        <w:suppressAutoHyphens w:val="0"/>
        <w:spacing w:after="0" w:line="240" w:lineRule="auto"/>
      </w:pPr>
      <w:r>
        <w:t>The front, side, and rear yard requirements of each zone shall apply to the location of permanent accessory buildings and structures within each zone.</w:t>
      </w:r>
    </w:p>
    <w:p w14:paraId="244583AC" w14:textId="77777777" w:rsidR="00F71D90" w:rsidRDefault="00F71D90" w:rsidP="00F71D90">
      <w:pPr>
        <w:ind w:left="720"/>
      </w:pPr>
    </w:p>
    <w:p w14:paraId="19D916BB" w14:textId="77777777" w:rsidR="00F71D90" w:rsidRDefault="00F71D90" w:rsidP="00F71D90">
      <w:pPr>
        <w:numPr>
          <w:ilvl w:val="1"/>
          <w:numId w:val="1"/>
        </w:numPr>
        <w:suppressAutoHyphens w:val="0"/>
        <w:spacing w:after="0" w:line="240" w:lineRule="auto"/>
      </w:pPr>
      <w:r>
        <w:t xml:space="preserve">If attached to the principal building, a permanent accessory building or structure shall be made structurally a part of </w:t>
      </w:r>
      <w:proofErr w:type="gramStart"/>
      <w:r>
        <w:t>it, and</w:t>
      </w:r>
      <w:proofErr w:type="gramEnd"/>
      <w:r>
        <w:t xml:space="preserve"> shall comply in all respects with the requirements applicable to the principal building under this Ordinance.</w:t>
      </w:r>
    </w:p>
    <w:p w14:paraId="3849D515" w14:textId="77777777" w:rsidR="00F71D90" w:rsidRDefault="00F71D90" w:rsidP="00F71D90">
      <w:pPr>
        <w:ind w:left="1440"/>
      </w:pPr>
    </w:p>
    <w:p w14:paraId="0380559B" w14:textId="77777777" w:rsidR="00F71D90" w:rsidRDefault="00F71D90" w:rsidP="00F71D90">
      <w:pPr>
        <w:numPr>
          <w:ilvl w:val="1"/>
          <w:numId w:val="1"/>
        </w:numPr>
        <w:suppressAutoHyphens w:val="0"/>
        <w:spacing w:after="0" w:line="240" w:lineRule="auto"/>
      </w:pPr>
      <w:r>
        <w:t>A permanent accessory building or structure not attached and not made a part of the principal building:</w:t>
      </w:r>
    </w:p>
    <w:p w14:paraId="6D60E004" w14:textId="77777777" w:rsidR="00F71D90" w:rsidRDefault="00F71D90" w:rsidP="00F71D90"/>
    <w:p w14:paraId="387EE8F2" w14:textId="77777777" w:rsidR="00F71D90" w:rsidRDefault="00F71D90" w:rsidP="00F71D90">
      <w:pPr>
        <w:numPr>
          <w:ilvl w:val="2"/>
          <w:numId w:val="1"/>
        </w:numPr>
        <w:suppressAutoHyphens w:val="0"/>
        <w:spacing w:after="0" w:line="240" w:lineRule="auto"/>
      </w:pPr>
      <w:r>
        <w:t>Shall not be nearer than ten feet from any other separate structure on the same lot,</w:t>
      </w:r>
    </w:p>
    <w:p w14:paraId="77BB708A" w14:textId="77777777" w:rsidR="00F71D90" w:rsidRDefault="00F71D90" w:rsidP="00F71D90">
      <w:pPr>
        <w:ind w:left="2160"/>
      </w:pPr>
    </w:p>
    <w:p w14:paraId="6CD95C29" w14:textId="77777777" w:rsidR="00F71D90" w:rsidRDefault="00F71D90" w:rsidP="00F71D90">
      <w:pPr>
        <w:numPr>
          <w:ilvl w:val="2"/>
          <w:numId w:val="1"/>
        </w:numPr>
        <w:suppressAutoHyphens w:val="0"/>
        <w:spacing w:after="0" w:line="240" w:lineRule="auto"/>
      </w:pPr>
      <w:r>
        <w:t xml:space="preserve">May contain living </w:t>
      </w:r>
      <w:proofErr w:type="gramStart"/>
      <w:r>
        <w:t>quarters;</w:t>
      </w:r>
      <w:proofErr w:type="gramEnd"/>
      <w:r>
        <w:t xml:space="preserve"> provided that proper Health Department approval is secured for water and septic service.</w:t>
      </w:r>
    </w:p>
    <w:p w14:paraId="69B17ED0" w14:textId="77777777" w:rsidR="00F71D90" w:rsidRDefault="00F71D90" w:rsidP="00F71D90"/>
    <w:p w14:paraId="595ADD62" w14:textId="77777777" w:rsidR="00F71D90" w:rsidRPr="00F71D90" w:rsidRDefault="00F71D90" w:rsidP="00F71D90">
      <w:pPr>
        <w:numPr>
          <w:ilvl w:val="2"/>
          <w:numId w:val="1"/>
        </w:numPr>
        <w:suppressAutoHyphens w:val="0"/>
        <w:spacing w:after="0" w:line="240" w:lineRule="auto"/>
        <w:rPr>
          <w:color w:val="FF0000"/>
        </w:rPr>
      </w:pPr>
      <w:r w:rsidRPr="00F71D90">
        <w:rPr>
          <w:color w:val="FF0000"/>
        </w:rPr>
        <w:t>If located in a Residential District, not exceed the ground floor area of the main building, and</w:t>
      </w:r>
    </w:p>
    <w:p w14:paraId="0DEBE10E" w14:textId="77777777" w:rsidR="00F71D90" w:rsidRPr="00F71D90" w:rsidRDefault="00F71D90" w:rsidP="00F71D90">
      <w:pPr>
        <w:rPr>
          <w:color w:val="FF0000"/>
        </w:rPr>
      </w:pPr>
    </w:p>
    <w:p w14:paraId="2D259181" w14:textId="77777777" w:rsidR="00F71D90" w:rsidRDefault="00F71D90" w:rsidP="00F71D90">
      <w:pPr>
        <w:numPr>
          <w:ilvl w:val="2"/>
          <w:numId w:val="1"/>
        </w:numPr>
        <w:suppressAutoHyphens w:val="0"/>
        <w:spacing w:after="0" w:line="240" w:lineRule="auto"/>
      </w:pPr>
      <w:r>
        <w:t>If located in a Residential District, not be closer to the side yard lot line than the side yard setback of the principal building on a corner lot.</w:t>
      </w:r>
    </w:p>
    <w:p w14:paraId="154BDD47" w14:textId="77777777" w:rsidR="00F71D90" w:rsidRDefault="00F71D90" w:rsidP="00F71D90">
      <w:pPr>
        <w:pStyle w:val="ListParagraph"/>
      </w:pPr>
    </w:p>
    <w:p w14:paraId="1A74B759" w14:textId="77777777" w:rsidR="00F71D90" w:rsidRDefault="00F71D90" w:rsidP="00F71D90">
      <w:pPr>
        <w:numPr>
          <w:ilvl w:val="1"/>
          <w:numId w:val="1"/>
        </w:numPr>
        <w:suppressAutoHyphens w:val="0"/>
        <w:spacing w:after="0" w:line="240" w:lineRule="auto"/>
      </w:pPr>
      <w:r>
        <w:t>This provision is not intended to limit the placement of fences in setbacks to the extent otherwise permitted by law.</w:t>
      </w:r>
    </w:p>
    <w:p w14:paraId="44B5393B" w14:textId="77777777" w:rsidR="00F71D90" w:rsidRDefault="00F71D90" w:rsidP="00F71D90">
      <w:pPr>
        <w:widowControl w:val="0"/>
        <w:tabs>
          <w:tab w:val="left" w:pos="1438"/>
        </w:tabs>
        <w:spacing w:after="0" w:line="100" w:lineRule="atLeast"/>
        <w:ind w:left="2160" w:hanging="2160"/>
        <w:rPr>
          <w:rFonts w:ascii="Arial" w:hAnsi="Arial" w:cs="Arial"/>
          <w:bCs/>
          <w:sz w:val="20"/>
          <w:szCs w:val="20"/>
        </w:rPr>
      </w:pPr>
    </w:p>
    <w:p w14:paraId="14875343" w14:textId="212933CE" w:rsidR="00F71D90" w:rsidRPr="00F71D90" w:rsidRDefault="00F71D90" w:rsidP="00F71D90">
      <w:pPr>
        <w:widowControl w:val="0"/>
        <w:tabs>
          <w:tab w:val="left" w:pos="1438"/>
        </w:tabs>
        <w:spacing w:after="0" w:line="100" w:lineRule="atLeast"/>
        <w:ind w:left="2160" w:hanging="2160"/>
        <w:rPr>
          <w:rFonts w:ascii="Arial" w:hAnsi="Arial" w:cs="Arial"/>
          <w:b/>
          <w:i/>
          <w:iCs/>
          <w:sz w:val="20"/>
          <w:szCs w:val="20"/>
        </w:rPr>
      </w:pPr>
      <w:r w:rsidRPr="00F71D90">
        <w:rPr>
          <w:rFonts w:ascii="Arial" w:hAnsi="Arial" w:cs="Arial"/>
          <w:b/>
          <w:i/>
          <w:iCs/>
          <w:sz w:val="20"/>
          <w:szCs w:val="20"/>
        </w:rPr>
        <w:t xml:space="preserve">Discussion on accessory structure size restriction.  </w:t>
      </w:r>
    </w:p>
    <w:p w14:paraId="2691F4C7" w14:textId="77777777" w:rsidR="00F71D90" w:rsidRPr="00F71D90" w:rsidRDefault="00F71D90" w:rsidP="00F71D90">
      <w:pPr>
        <w:widowControl w:val="0"/>
        <w:tabs>
          <w:tab w:val="left" w:pos="1438"/>
        </w:tabs>
        <w:spacing w:after="0" w:line="100" w:lineRule="atLeast"/>
        <w:ind w:left="2160" w:hanging="2160"/>
        <w:rPr>
          <w:rFonts w:ascii="Arial" w:hAnsi="Arial" w:cs="Arial"/>
          <w:b/>
          <w:i/>
          <w:iCs/>
          <w:sz w:val="20"/>
          <w:szCs w:val="20"/>
        </w:rPr>
      </w:pPr>
      <w:r w:rsidRPr="00F71D90">
        <w:rPr>
          <w:rFonts w:ascii="Arial" w:hAnsi="Arial" w:cs="Arial"/>
          <w:b/>
          <w:i/>
          <w:iCs/>
          <w:sz w:val="20"/>
          <w:szCs w:val="20"/>
        </w:rPr>
        <w:tab/>
      </w:r>
      <w:r w:rsidRPr="00F71D90">
        <w:rPr>
          <w:rFonts w:ascii="Arial" w:hAnsi="Arial" w:cs="Arial"/>
          <w:b/>
          <w:i/>
          <w:iCs/>
          <w:sz w:val="20"/>
          <w:szCs w:val="20"/>
        </w:rPr>
        <w:tab/>
        <w:t xml:space="preserve">Motion by </w:t>
      </w:r>
      <w:proofErr w:type="spellStart"/>
      <w:r w:rsidRPr="00F71D90">
        <w:rPr>
          <w:rFonts w:ascii="Arial" w:hAnsi="Arial" w:cs="Arial"/>
          <w:b/>
          <w:i/>
          <w:iCs/>
          <w:sz w:val="20"/>
          <w:szCs w:val="20"/>
        </w:rPr>
        <w:t>Gurr</w:t>
      </w:r>
      <w:proofErr w:type="spellEnd"/>
      <w:r w:rsidRPr="00F71D90">
        <w:rPr>
          <w:rFonts w:ascii="Arial" w:hAnsi="Arial" w:cs="Arial"/>
          <w:b/>
          <w:i/>
          <w:iCs/>
          <w:sz w:val="20"/>
          <w:szCs w:val="20"/>
        </w:rPr>
        <w:t xml:space="preserve"> with support by Schafer. Motion carried to change zoning language as follows:</w:t>
      </w:r>
    </w:p>
    <w:p w14:paraId="219A11DB" w14:textId="50D9D6DB" w:rsidR="00B72705" w:rsidRDefault="00F71D90" w:rsidP="00F71D90">
      <w:pPr>
        <w:widowControl w:val="0"/>
        <w:tabs>
          <w:tab w:val="left" w:pos="1438"/>
        </w:tabs>
        <w:spacing w:after="0" w:line="100" w:lineRule="atLeast"/>
        <w:ind w:left="2160" w:hanging="2160"/>
      </w:pPr>
      <w:r w:rsidRPr="00F71D90">
        <w:rPr>
          <w:rFonts w:ascii="Arial" w:hAnsi="Arial" w:cs="Arial"/>
          <w:b/>
          <w:i/>
          <w:iCs/>
          <w:sz w:val="20"/>
          <w:szCs w:val="20"/>
        </w:rPr>
        <w:tab/>
      </w:r>
      <w:r w:rsidRPr="00F71D90">
        <w:rPr>
          <w:rFonts w:ascii="Arial" w:hAnsi="Arial" w:cs="Arial"/>
          <w:b/>
          <w:i/>
          <w:iCs/>
          <w:sz w:val="20"/>
          <w:szCs w:val="20"/>
        </w:rPr>
        <w:tab/>
      </w:r>
      <w:r w:rsidRPr="00F71D90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 Section 5.01.01.C.2.c—strike this statement restricting size of accessory buildings and structures</w:t>
      </w:r>
      <w:r w:rsidRPr="00F71D90">
        <w:rPr>
          <w:rFonts w:ascii="Arial" w:hAnsi="Arial" w:cs="Arial"/>
          <w:b/>
          <w:i/>
          <w:iCs/>
          <w:sz w:val="20"/>
          <w:szCs w:val="20"/>
        </w:rPr>
        <w:t>.</w:t>
      </w:r>
    </w:p>
    <w:sectPr w:rsidR="00B72705" w:rsidSect="00F71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C3"/>
    <w:multiLevelType w:val="hybridMultilevel"/>
    <w:tmpl w:val="A9DAC1C4"/>
    <w:lvl w:ilvl="0" w:tplc="C256E80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4E44E410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7893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0"/>
    <w:rsid w:val="007F431B"/>
    <w:rsid w:val="00B72705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142B"/>
  <w15:chartTrackingRefBased/>
  <w15:docId w15:val="{BAECFAD3-8A21-44EF-A3A6-CC54DF4B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90"/>
    <w:pPr>
      <w:suppressAutoHyphens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1D90"/>
    <w:pPr>
      <w:widowControl w:val="0"/>
      <w:tabs>
        <w:tab w:val="left" w:pos="-1278"/>
        <w:tab w:val="left" w:pos="-1118"/>
        <w:tab w:val="left" w:pos="-398"/>
        <w:tab w:val="left" w:pos="0"/>
        <w:tab w:val="left" w:pos="321"/>
        <w:tab w:val="left" w:pos="1041"/>
        <w:tab w:val="left" w:pos="1761"/>
        <w:tab w:val="left" w:pos="2481"/>
        <w:tab w:val="left" w:pos="3201"/>
        <w:tab w:val="left" w:pos="3921"/>
        <w:tab w:val="left" w:pos="4641"/>
        <w:tab w:val="left" w:pos="5361"/>
        <w:tab w:val="left" w:pos="6081"/>
        <w:tab w:val="left" w:pos="6801"/>
        <w:tab w:val="left" w:pos="7362"/>
        <w:tab w:val="left" w:pos="8082"/>
      </w:tabs>
      <w:suppressAutoHyphens w:val="0"/>
      <w:autoSpaceDE w:val="0"/>
      <w:autoSpaceDN w:val="0"/>
      <w:adjustRightInd w:val="0"/>
      <w:spacing w:after="0" w:line="278" w:lineRule="atLeast"/>
      <w:outlineLvl w:val="2"/>
    </w:pPr>
    <w:rPr>
      <w:rFonts w:ascii="Arial" w:hAnsi="Arial" w:cs="Arial"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71D90"/>
    <w:rPr>
      <w:rFonts w:ascii="Arial" w:eastAsia="Times New Roman" w:hAnsi="Arial" w:cs="Arial"/>
      <w:kern w:val="0"/>
      <w:sz w:val="24"/>
      <w:szCs w:val="24"/>
      <w:u w:val="single"/>
      <w14:ligatures w14:val="none"/>
    </w:rPr>
  </w:style>
  <w:style w:type="paragraph" w:customStyle="1" w:styleId="p110">
    <w:name w:val="p110"/>
    <w:uiPriority w:val="99"/>
    <w:rsid w:val="00F71D9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99"/>
    <w:qFormat/>
    <w:rsid w:val="00F71D90"/>
    <w:pPr>
      <w:suppressAutoHyphens w:val="0"/>
      <w:spacing w:after="0" w:line="240" w:lineRule="auto"/>
      <w:ind w:left="72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Twp Office</dc:creator>
  <cp:keywords/>
  <dc:description/>
  <cp:lastModifiedBy>Helena Twp Office</cp:lastModifiedBy>
  <cp:revision>1</cp:revision>
  <dcterms:created xsi:type="dcterms:W3CDTF">2023-05-12T13:26:00Z</dcterms:created>
  <dcterms:modified xsi:type="dcterms:W3CDTF">2023-05-12T13:33:00Z</dcterms:modified>
</cp:coreProperties>
</file>